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D9" w:rsidRDefault="007F4C67">
      <w:r>
        <w:t>Fitzgerald</w:t>
      </w:r>
      <w:r>
        <w:tab/>
      </w:r>
    </w:p>
    <w:p w:rsidR="007F4C67" w:rsidRDefault="007F4C67" w:rsidP="007F4C67">
      <w:pPr>
        <w:jc w:val="center"/>
      </w:pPr>
      <w:r>
        <w:t>Table of Contents</w:t>
      </w:r>
    </w:p>
    <w:p w:rsidR="007F4C67" w:rsidRDefault="007F4C67" w:rsidP="007F4C67">
      <w:pPr>
        <w:jc w:val="center"/>
      </w:pPr>
      <w:proofErr w:type="gramStart"/>
      <w:r>
        <w:t>for</w:t>
      </w:r>
      <w:proofErr w:type="gramEnd"/>
    </w:p>
    <w:p w:rsidR="007F4C67" w:rsidRDefault="007F4C67" w:rsidP="007F4C67">
      <w:pPr>
        <w:jc w:val="center"/>
      </w:pPr>
      <w:r>
        <w:t>Establishing the Government and Establishing Our Place in the World</w:t>
      </w:r>
    </w:p>
    <w:p w:rsidR="007F4C67" w:rsidRDefault="007F4C67" w:rsidP="007F4C67">
      <w:pPr>
        <w:jc w:val="center"/>
      </w:pPr>
    </w:p>
    <w:p w:rsidR="007F4C67" w:rsidRDefault="007F4C67" w:rsidP="007F4C67">
      <w:r>
        <w:t>For each item below, students should have</w:t>
      </w:r>
      <w:r w:rsidR="000160CB">
        <w:t>, as these are methods of organizing our knowledge we are practicing</w:t>
      </w:r>
    </w:p>
    <w:p w:rsidR="007F4C67" w:rsidRDefault="007F4C67" w:rsidP="007F4C67">
      <w:pPr>
        <w:pStyle w:val="ListParagraph"/>
        <w:numPr>
          <w:ilvl w:val="0"/>
          <w:numId w:val="2"/>
        </w:numPr>
      </w:pPr>
      <w:r w:rsidRPr="007F4C67">
        <w:rPr>
          <w:b/>
        </w:rPr>
        <w:t>Highlighted</w:t>
      </w:r>
      <w:r>
        <w:t xml:space="preserve"> reading – Main idea fully highlighted, details underlined for each paragraph</w:t>
      </w:r>
    </w:p>
    <w:p w:rsidR="007F4C67" w:rsidRDefault="007F4C67" w:rsidP="007F4C67">
      <w:pPr>
        <w:pStyle w:val="ListParagraph"/>
        <w:numPr>
          <w:ilvl w:val="0"/>
          <w:numId w:val="2"/>
        </w:numPr>
      </w:pPr>
      <w:r w:rsidRPr="007F4C67">
        <w:rPr>
          <w:b/>
        </w:rPr>
        <w:t>Notes</w:t>
      </w:r>
      <w:r>
        <w:t xml:space="preserve"> based on Highlighting – Heading in first column, Main Idea for each paragraph at margin of middle column, Details for each paragraph bulleted and indented below main idea, words of text, limited words used</w:t>
      </w:r>
    </w:p>
    <w:p w:rsidR="007F4C67" w:rsidRDefault="007F4C67" w:rsidP="007F4C67">
      <w:pPr>
        <w:pStyle w:val="ListParagraph"/>
        <w:numPr>
          <w:ilvl w:val="0"/>
          <w:numId w:val="2"/>
        </w:numPr>
      </w:pPr>
      <w:r w:rsidRPr="007F4C67">
        <w:rPr>
          <w:b/>
        </w:rPr>
        <w:t>Summary</w:t>
      </w:r>
      <w:r>
        <w:t xml:space="preserve"> for Timeline – Date, </w:t>
      </w:r>
      <w:r w:rsidR="00D62228">
        <w:t>Topic Title from List Below</w:t>
      </w:r>
      <w:r>
        <w:t xml:space="preserve">, </w:t>
      </w:r>
      <w:r w:rsidR="00D62228">
        <w:t>Concise S</w:t>
      </w:r>
      <w:r>
        <w:t>ummary in full sentences</w:t>
      </w:r>
    </w:p>
    <w:p w:rsidR="007F4C67" w:rsidRDefault="007F4C67" w:rsidP="007F4C67">
      <w:pPr>
        <w:pStyle w:val="ListParagraph"/>
        <w:numPr>
          <w:ilvl w:val="0"/>
          <w:numId w:val="2"/>
        </w:numPr>
      </w:pPr>
      <w:r w:rsidRPr="007F4C67">
        <w:rPr>
          <w:b/>
        </w:rPr>
        <w:t>Image</w:t>
      </w:r>
      <w:r w:rsidR="000160CB">
        <w:t xml:space="preserve"> (s) – </w:t>
      </w:r>
      <w:r w:rsidR="00D62228">
        <w:t>A</w:t>
      </w:r>
      <w:r w:rsidR="000160CB">
        <w:t>n</w:t>
      </w:r>
      <w:bookmarkStart w:id="0" w:name="_GoBack"/>
      <w:bookmarkEnd w:id="0"/>
      <w:r>
        <w:t xml:space="preserve"> image or group of images that bring the key idea of the notes to life, NO WORDS</w:t>
      </w:r>
    </w:p>
    <w:p w:rsidR="007F4C67" w:rsidRDefault="007F4C67" w:rsidP="007F4C67"/>
    <w:p w:rsidR="00600D72" w:rsidRPr="00A11A46" w:rsidRDefault="00600D72" w:rsidP="00600D72">
      <w:pPr>
        <w:pStyle w:val="ListParagraph"/>
        <w:numPr>
          <w:ilvl w:val="0"/>
          <w:numId w:val="4"/>
        </w:numPr>
        <w:ind w:left="360"/>
        <w:rPr>
          <w:sz w:val="18"/>
          <w:szCs w:val="18"/>
        </w:rPr>
      </w:pPr>
      <w:r>
        <w:rPr>
          <w:sz w:val="18"/>
          <w:szCs w:val="18"/>
        </w:rPr>
        <w:t>Establishing the G</w:t>
      </w:r>
      <w:r w:rsidRPr="00A11A46">
        <w:rPr>
          <w:sz w:val="18"/>
          <w:szCs w:val="18"/>
        </w:rPr>
        <w:t>overnment –</w:t>
      </w:r>
    </w:p>
    <w:p w:rsidR="00600D72" w:rsidRPr="00A11A46" w:rsidRDefault="00600D72" w:rsidP="00600D72">
      <w:pPr>
        <w:pStyle w:val="ListParagraph"/>
        <w:numPr>
          <w:ilvl w:val="1"/>
          <w:numId w:val="4"/>
        </w:numPr>
        <w:ind w:left="1080"/>
        <w:rPr>
          <w:sz w:val="18"/>
          <w:szCs w:val="18"/>
        </w:rPr>
      </w:pPr>
      <w:r w:rsidRPr="00A11A46">
        <w:rPr>
          <w:sz w:val="18"/>
          <w:szCs w:val="18"/>
        </w:rPr>
        <w:t>Hamilton’s Financial Plan</w:t>
      </w:r>
      <w:r>
        <w:rPr>
          <w:sz w:val="18"/>
          <w:szCs w:val="18"/>
        </w:rPr>
        <w:t xml:space="preserve"> – pp.285-6 “Hamilton’s Financial Plan”</w:t>
      </w:r>
    </w:p>
    <w:p w:rsidR="00600D72" w:rsidRPr="00A11A46" w:rsidRDefault="00600D72" w:rsidP="00600D72">
      <w:pPr>
        <w:pStyle w:val="ListParagraph"/>
        <w:numPr>
          <w:ilvl w:val="1"/>
          <w:numId w:val="4"/>
        </w:numPr>
        <w:ind w:left="1080"/>
        <w:rPr>
          <w:sz w:val="18"/>
          <w:szCs w:val="18"/>
        </w:rPr>
      </w:pPr>
      <w:r w:rsidRPr="00A11A46">
        <w:rPr>
          <w:sz w:val="18"/>
          <w:szCs w:val="18"/>
        </w:rPr>
        <w:t>The Whiskey Rebellion</w:t>
      </w:r>
      <w:r>
        <w:rPr>
          <w:sz w:val="18"/>
          <w:szCs w:val="18"/>
        </w:rPr>
        <w:t xml:space="preserve"> – p. 287 “The Whiskey Rebellion”</w:t>
      </w:r>
    </w:p>
    <w:p w:rsidR="00600D72" w:rsidRPr="00A11A46" w:rsidRDefault="00600D72" w:rsidP="00600D72">
      <w:pPr>
        <w:pStyle w:val="ListParagraph"/>
        <w:numPr>
          <w:ilvl w:val="1"/>
          <w:numId w:val="4"/>
        </w:numPr>
        <w:ind w:left="1080"/>
        <w:rPr>
          <w:sz w:val="18"/>
          <w:szCs w:val="18"/>
        </w:rPr>
      </w:pPr>
      <w:r w:rsidRPr="00A11A46">
        <w:rPr>
          <w:sz w:val="18"/>
          <w:szCs w:val="18"/>
        </w:rPr>
        <w:t>The Development of Political Parties</w:t>
      </w:r>
      <w:r>
        <w:rPr>
          <w:sz w:val="18"/>
          <w:szCs w:val="18"/>
        </w:rPr>
        <w:t xml:space="preserve"> p290-3 “Political Parties s Emerge,” “Republicans Against Federalists”</w:t>
      </w:r>
    </w:p>
    <w:p w:rsidR="00600D72" w:rsidRPr="00A11A46" w:rsidRDefault="00600D72" w:rsidP="00600D72">
      <w:pPr>
        <w:pStyle w:val="ListParagraph"/>
        <w:numPr>
          <w:ilvl w:val="1"/>
          <w:numId w:val="4"/>
        </w:numPr>
        <w:ind w:left="1080"/>
        <w:rPr>
          <w:sz w:val="18"/>
          <w:szCs w:val="18"/>
        </w:rPr>
      </w:pPr>
      <w:r w:rsidRPr="00A11A46">
        <w:rPr>
          <w:sz w:val="18"/>
          <w:szCs w:val="18"/>
        </w:rPr>
        <w:t xml:space="preserve">Washington’s Resignation and </w:t>
      </w:r>
      <w:r>
        <w:rPr>
          <w:sz w:val="18"/>
          <w:szCs w:val="18"/>
        </w:rPr>
        <w:t>F</w:t>
      </w:r>
      <w:r w:rsidRPr="00A11A46">
        <w:rPr>
          <w:sz w:val="18"/>
          <w:szCs w:val="18"/>
        </w:rPr>
        <w:t>arewell Address</w:t>
      </w:r>
      <w:r>
        <w:rPr>
          <w:sz w:val="18"/>
          <w:szCs w:val="18"/>
        </w:rPr>
        <w:t xml:space="preserve"> p. 297 “Washington Retires from Public Life”</w:t>
      </w:r>
    </w:p>
    <w:p w:rsidR="00600D72" w:rsidRDefault="00600D72" w:rsidP="00600D72">
      <w:pPr>
        <w:pStyle w:val="ListParagraph"/>
        <w:numPr>
          <w:ilvl w:val="1"/>
          <w:numId w:val="4"/>
        </w:numPr>
        <w:ind w:left="1080"/>
        <w:rPr>
          <w:sz w:val="18"/>
          <w:szCs w:val="18"/>
        </w:rPr>
      </w:pPr>
      <w:r>
        <w:rPr>
          <w:sz w:val="18"/>
          <w:szCs w:val="18"/>
        </w:rPr>
        <w:t>Election of 1796 p. 293 “The Election of 1796”</w:t>
      </w:r>
    </w:p>
    <w:p w:rsidR="00600D72" w:rsidRPr="00A11A46" w:rsidRDefault="00600D72" w:rsidP="00600D72">
      <w:pPr>
        <w:pStyle w:val="ListParagraph"/>
        <w:numPr>
          <w:ilvl w:val="1"/>
          <w:numId w:val="4"/>
        </w:numPr>
        <w:ind w:left="1080"/>
        <w:rPr>
          <w:sz w:val="18"/>
          <w:szCs w:val="18"/>
        </w:rPr>
      </w:pPr>
      <w:r>
        <w:rPr>
          <w:sz w:val="18"/>
          <w:szCs w:val="18"/>
        </w:rPr>
        <w:t>The Alien and S</w:t>
      </w:r>
      <w:r w:rsidRPr="00A11A46">
        <w:rPr>
          <w:sz w:val="18"/>
          <w:szCs w:val="18"/>
        </w:rPr>
        <w:t>edition Acts</w:t>
      </w:r>
      <w:r>
        <w:rPr>
          <w:sz w:val="18"/>
          <w:szCs w:val="18"/>
        </w:rPr>
        <w:t xml:space="preserve"> p. 299-300 “The Alien and Sedition Acts”</w:t>
      </w:r>
    </w:p>
    <w:p w:rsidR="00600D72" w:rsidRPr="00A11A46" w:rsidRDefault="00600D72" w:rsidP="00600D72">
      <w:pPr>
        <w:pStyle w:val="ListParagraph"/>
        <w:numPr>
          <w:ilvl w:val="1"/>
          <w:numId w:val="4"/>
        </w:numPr>
        <w:ind w:left="1080"/>
        <w:rPr>
          <w:sz w:val="18"/>
          <w:szCs w:val="18"/>
        </w:rPr>
      </w:pPr>
      <w:r w:rsidRPr="00A11A46">
        <w:rPr>
          <w:sz w:val="18"/>
          <w:szCs w:val="18"/>
        </w:rPr>
        <w:t xml:space="preserve">The Theory of </w:t>
      </w:r>
      <w:r>
        <w:rPr>
          <w:sz w:val="18"/>
          <w:szCs w:val="18"/>
        </w:rPr>
        <w:t>S</w:t>
      </w:r>
      <w:r w:rsidRPr="00A11A46">
        <w:rPr>
          <w:sz w:val="18"/>
          <w:szCs w:val="18"/>
        </w:rPr>
        <w:t>tates’ Rights</w:t>
      </w:r>
      <w:r>
        <w:rPr>
          <w:sz w:val="18"/>
          <w:szCs w:val="18"/>
        </w:rPr>
        <w:t xml:space="preserve"> pp. 300-1 “States’ Rights”</w:t>
      </w:r>
    </w:p>
    <w:p w:rsidR="00600D72" w:rsidRPr="00A11A46" w:rsidRDefault="00600D72" w:rsidP="00600D72">
      <w:pPr>
        <w:pStyle w:val="ListParagraph"/>
        <w:numPr>
          <w:ilvl w:val="1"/>
          <w:numId w:val="4"/>
        </w:numPr>
        <w:ind w:left="1080"/>
        <w:rPr>
          <w:sz w:val="18"/>
          <w:szCs w:val="18"/>
        </w:rPr>
      </w:pPr>
      <w:r w:rsidRPr="00A11A46">
        <w:rPr>
          <w:sz w:val="18"/>
          <w:szCs w:val="18"/>
        </w:rPr>
        <w:t>The Election of 1800</w:t>
      </w:r>
      <w:r>
        <w:rPr>
          <w:sz w:val="18"/>
          <w:szCs w:val="18"/>
        </w:rPr>
        <w:t xml:space="preserve"> - pp. 310 “A Bitter Campaign”</w:t>
      </w:r>
    </w:p>
    <w:p w:rsidR="00600D72" w:rsidRPr="00A11A46" w:rsidRDefault="00600D72" w:rsidP="00600D72">
      <w:pPr>
        <w:pStyle w:val="ListParagraph"/>
        <w:numPr>
          <w:ilvl w:val="1"/>
          <w:numId w:val="4"/>
        </w:numPr>
        <w:ind w:left="1080"/>
        <w:rPr>
          <w:sz w:val="18"/>
          <w:szCs w:val="18"/>
        </w:rPr>
      </w:pPr>
      <w:r w:rsidRPr="00A11A46">
        <w:rPr>
          <w:sz w:val="18"/>
          <w:szCs w:val="18"/>
        </w:rPr>
        <w:t>Jefferson’s Reversal of Federalist Programs</w:t>
      </w:r>
      <w:r>
        <w:rPr>
          <w:sz w:val="18"/>
          <w:szCs w:val="18"/>
        </w:rPr>
        <w:t xml:space="preserve"> – pp. 311-12 “Jefferson Charts a New Course,” “new Republican policies</w:t>
      </w:r>
    </w:p>
    <w:p w:rsidR="00600D72" w:rsidRPr="00A11A46" w:rsidRDefault="00600D72" w:rsidP="00600D72">
      <w:pPr>
        <w:pStyle w:val="ListParagraph"/>
        <w:numPr>
          <w:ilvl w:val="1"/>
          <w:numId w:val="4"/>
        </w:numPr>
        <w:ind w:left="1080"/>
        <w:rPr>
          <w:sz w:val="18"/>
          <w:szCs w:val="18"/>
        </w:rPr>
      </w:pPr>
      <w:r w:rsidRPr="00A11A46">
        <w:rPr>
          <w:sz w:val="18"/>
          <w:szCs w:val="18"/>
        </w:rPr>
        <w:t xml:space="preserve">The Establishment of the Power of the Judiciary – </w:t>
      </w:r>
      <w:r>
        <w:rPr>
          <w:sz w:val="18"/>
          <w:szCs w:val="18"/>
        </w:rPr>
        <w:t>Marbury v. Madison pp.312-13 “The Supreme Court and Judicial Review”</w:t>
      </w:r>
    </w:p>
    <w:p w:rsidR="00600D72" w:rsidRPr="00A11A46" w:rsidRDefault="00600D72" w:rsidP="00600D72">
      <w:pPr>
        <w:pStyle w:val="ListParagraph"/>
        <w:numPr>
          <w:ilvl w:val="1"/>
          <w:numId w:val="4"/>
        </w:numPr>
        <w:ind w:left="1080"/>
        <w:rPr>
          <w:sz w:val="18"/>
          <w:szCs w:val="18"/>
        </w:rPr>
      </w:pPr>
      <w:r w:rsidRPr="00A11A46">
        <w:rPr>
          <w:sz w:val="18"/>
          <w:szCs w:val="18"/>
        </w:rPr>
        <w:t>Judiciary Support for Power of Federal Government</w:t>
      </w:r>
      <w:r>
        <w:rPr>
          <w:sz w:val="18"/>
          <w:szCs w:val="18"/>
        </w:rPr>
        <w:t xml:space="preserve"> – pp. 343-44 “Three Important Supreme Court Cases”</w:t>
      </w:r>
    </w:p>
    <w:p w:rsidR="00600D72" w:rsidRPr="00A11A46" w:rsidRDefault="00600D72" w:rsidP="00600D72">
      <w:pPr>
        <w:pStyle w:val="ListParagraph"/>
        <w:numPr>
          <w:ilvl w:val="0"/>
          <w:numId w:val="4"/>
        </w:numPr>
        <w:ind w:left="360"/>
        <w:rPr>
          <w:sz w:val="18"/>
          <w:szCs w:val="18"/>
        </w:rPr>
      </w:pPr>
      <w:r w:rsidRPr="00A11A46">
        <w:rPr>
          <w:sz w:val="18"/>
          <w:szCs w:val="18"/>
        </w:rPr>
        <w:t xml:space="preserve">Establishing </w:t>
      </w:r>
      <w:r>
        <w:rPr>
          <w:sz w:val="18"/>
          <w:szCs w:val="18"/>
        </w:rPr>
        <w:t>O</w:t>
      </w:r>
      <w:r w:rsidRPr="00A11A46">
        <w:rPr>
          <w:sz w:val="18"/>
          <w:szCs w:val="18"/>
        </w:rPr>
        <w:t>ur Place in the World –</w:t>
      </w:r>
    </w:p>
    <w:p w:rsidR="00600D72" w:rsidRPr="00A11A46" w:rsidRDefault="00600D72" w:rsidP="00600D72">
      <w:pPr>
        <w:pStyle w:val="ListParagraph"/>
        <w:numPr>
          <w:ilvl w:val="0"/>
          <w:numId w:val="5"/>
        </w:numPr>
        <w:ind w:left="1080"/>
        <w:rPr>
          <w:sz w:val="18"/>
          <w:szCs w:val="18"/>
        </w:rPr>
      </w:pPr>
      <w:r w:rsidRPr="00A11A46">
        <w:rPr>
          <w:sz w:val="18"/>
          <w:szCs w:val="18"/>
        </w:rPr>
        <w:t>The French Revolution</w:t>
      </w:r>
      <w:r>
        <w:rPr>
          <w:sz w:val="18"/>
          <w:szCs w:val="18"/>
        </w:rPr>
        <w:t xml:space="preserve"> – pp. 295 “The French Revolution” – First and Second Paragraphs</w:t>
      </w:r>
    </w:p>
    <w:p w:rsidR="00600D72" w:rsidRPr="00A11A46" w:rsidRDefault="00600D72" w:rsidP="00600D72">
      <w:pPr>
        <w:pStyle w:val="ListParagraph"/>
        <w:numPr>
          <w:ilvl w:val="0"/>
          <w:numId w:val="5"/>
        </w:numPr>
        <w:ind w:left="1080"/>
        <w:rPr>
          <w:sz w:val="18"/>
          <w:szCs w:val="18"/>
        </w:rPr>
      </w:pPr>
      <w:r w:rsidRPr="00A11A46">
        <w:rPr>
          <w:sz w:val="18"/>
          <w:szCs w:val="18"/>
        </w:rPr>
        <w:t>War between Great Britain and France – Neutrality, Seizing of Ships, Impressment</w:t>
      </w:r>
      <w:r>
        <w:rPr>
          <w:sz w:val="18"/>
          <w:szCs w:val="18"/>
        </w:rPr>
        <w:t xml:space="preserve"> - pp. 295-96 “The French Revolution” – Third through 6</w:t>
      </w:r>
      <w:r w:rsidRPr="000E524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Paragraphs</w:t>
      </w:r>
    </w:p>
    <w:p w:rsidR="00600D72" w:rsidRPr="00A11A46" w:rsidRDefault="00600D72" w:rsidP="00600D72">
      <w:pPr>
        <w:pStyle w:val="ListParagraph"/>
        <w:numPr>
          <w:ilvl w:val="0"/>
          <w:numId w:val="5"/>
        </w:numPr>
        <w:ind w:left="1080"/>
        <w:rPr>
          <w:sz w:val="18"/>
          <w:szCs w:val="18"/>
        </w:rPr>
      </w:pPr>
      <w:r w:rsidRPr="00A11A46">
        <w:rPr>
          <w:sz w:val="18"/>
          <w:szCs w:val="18"/>
        </w:rPr>
        <w:t>The Jay Treaty with Britain concerning respect for American Sovereignty</w:t>
      </w:r>
      <w:r>
        <w:rPr>
          <w:sz w:val="18"/>
          <w:szCs w:val="18"/>
        </w:rPr>
        <w:t xml:space="preserve"> – p. 296 “The French Revolution” – 7th Paragraph through end</w:t>
      </w:r>
    </w:p>
    <w:p w:rsidR="00600D72" w:rsidRPr="00A11A46" w:rsidRDefault="00600D72" w:rsidP="00600D72">
      <w:pPr>
        <w:pStyle w:val="ListParagraph"/>
        <w:numPr>
          <w:ilvl w:val="0"/>
          <w:numId w:val="5"/>
        </w:numPr>
        <w:ind w:left="1080"/>
        <w:rPr>
          <w:sz w:val="18"/>
          <w:szCs w:val="18"/>
        </w:rPr>
      </w:pPr>
      <w:r w:rsidRPr="00A11A46">
        <w:rPr>
          <w:sz w:val="18"/>
          <w:szCs w:val="18"/>
        </w:rPr>
        <w:t>The Pinckney Treaty with Spain concerning New Orleans</w:t>
      </w:r>
      <w:r>
        <w:rPr>
          <w:sz w:val="18"/>
          <w:szCs w:val="18"/>
        </w:rPr>
        <w:t xml:space="preserve"> – p. 314 “The Nation Looks West”</w:t>
      </w:r>
    </w:p>
    <w:p w:rsidR="00600D72" w:rsidRPr="00A11A46" w:rsidRDefault="00600D72" w:rsidP="00600D72">
      <w:pPr>
        <w:pStyle w:val="ListParagraph"/>
        <w:numPr>
          <w:ilvl w:val="0"/>
          <w:numId w:val="5"/>
        </w:numPr>
        <w:ind w:left="1080"/>
        <w:rPr>
          <w:sz w:val="18"/>
          <w:szCs w:val="18"/>
        </w:rPr>
      </w:pPr>
      <w:r w:rsidRPr="00A11A46">
        <w:rPr>
          <w:sz w:val="18"/>
          <w:szCs w:val="18"/>
        </w:rPr>
        <w:t>The XYZ Affair</w:t>
      </w:r>
      <w:r>
        <w:rPr>
          <w:sz w:val="18"/>
          <w:szCs w:val="18"/>
        </w:rPr>
        <w:t xml:space="preserve"> – p.298 “Troubles with France,” “The XYZ Affair”</w:t>
      </w:r>
    </w:p>
    <w:p w:rsidR="00600D72" w:rsidRPr="00A11A46" w:rsidRDefault="00600D72" w:rsidP="00600D72">
      <w:pPr>
        <w:pStyle w:val="ListParagraph"/>
        <w:numPr>
          <w:ilvl w:val="0"/>
          <w:numId w:val="5"/>
        </w:numPr>
        <w:ind w:left="1080"/>
        <w:rPr>
          <w:sz w:val="18"/>
          <w:szCs w:val="18"/>
        </w:rPr>
      </w:pPr>
      <w:r>
        <w:rPr>
          <w:sz w:val="18"/>
          <w:szCs w:val="18"/>
        </w:rPr>
        <w:t>France – W</w:t>
      </w:r>
      <w:r w:rsidRPr="00A11A46">
        <w:rPr>
          <w:sz w:val="18"/>
          <w:szCs w:val="18"/>
        </w:rPr>
        <w:t>ar or Negotiation</w:t>
      </w:r>
      <w:r>
        <w:rPr>
          <w:sz w:val="18"/>
          <w:szCs w:val="18"/>
        </w:rPr>
        <w:t>? – p. 299 “War Fever”</w:t>
      </w:r>
    </w:p>
    <w:p w:rsidR="00600D72" w:rsidRPr="00A11A46" w:rsidRDefault="00600D72" w:rsidP="00600D72">
      <w:pPr>
        <w:pStyle w:val="ListParagraph"/>
        <w:numPr>
          <w:ilvl w:val="0"/>
          <w:numId w:val="5"/>
        </w:numPr>
        <w:ind w:left="1080"/>
        <w:rPr>
          <w:sz w:val="18"/>
          <w:szCs w:val="18"/>
        </w:rPr>
      </w:pPr>
      <w:r>
        <w:rPr>
          <w:sz w:val="18"/>
          <w:szCs w:val="18"/>
        </w:rPr>
        <w:t>Jefferson’s Embargo – pp. 324-25 “Jefferson Responds with an Embargo”</w:t>
      </w:r>
    </w:p>
    <w:p w:rsidR="00600D72" w:rsidRDefault="00600D72" w:rsidP="00600D72">
      <w:pPr>
        <w:pStyle w:val="ListParagraph"/>
        <w:numPr>
          <w:ilvl w:val="0"/>
          <w:numId w:val="5"/>
        </w:numPr>
        <w:ind w:left="1080"/>
        <w:rPr>
          <w:sz w:val="18"/>
          <w:szCs w:val="18"/>
        </w:rPr>
      </w:pPr>
      <w:r w:rsidRPr="00A11A46">
        <w:rPr>
          <w:sz w:val="18"/>
          <w:szCs w:val="18"/>
        </w:rPr>
        <w:t>The Louisiana Purchase</w:t>
      </w:r>
      <w:r>
        <w:rPr>
          <w:sz w:val="18"/>
          <w:szCs w:val="18"/>
        </w:rPr>
        <w:t xml:space="preserve"> – pp. 315-16 “ The Nation Looks West”  -  “Buying Louisiana”</w:t>
      </w:r>
    </w:p>
    <w:p w:rsidR="00A67441" w:rsidRPr="00A11A46" w:rsidRDefault="00A67441" w:rsidP="00A67441">
      <w:pPr>
        <w:pStyle w:val="ListParagraph"/>
        <w:numPr>
          <w:ilvl w:val="0"/>
          <w:numId w:val="5"/>
        </w:numPr>
        <w:ind w:left="1080"/>
        <w:rPr>
          <w:sz w:val="18"/>
          <w:szCs w:val="18"/>
        </w:rPr>
      </w:pPr>
      <w:r w:rsidRPr="00A11A46">
        <w:rPr>
          <w:sz w:val="18"/>
          <w:szCs w:val="18"/>
        </w:rPr>
        <w:t xml:space="preserve">Native Americans in the Northwest Territories – </w:t>
      </w:r>
      <w:r>
        <w:rPr>
          <w:sz w:val="18"/>
          <w:szCs w:val="18"/>
        </w:rPr>
        <w:t>Little Turtle and the Battle of F</w:t>
      </w:r>
      <w:r w:rsidRPr="00A11A46">
        <w:rPr>
          <w:sz w:val="18"/>
          <w:szCs w:val="18"/>
        </w:rPr>
        <w:t>allen Timbers</w:t>
      </w:r>
      <w:r>
        <w:rPr>
          <w:sz w:val="18"/>
          <w:szCs w:val="18"/>
        </w:rPr>
        <w:t xml:space="preserve"> – pp. 394-95 “Conflicts in the Northwest territories,” “A Struggle Over Land”</w:t>
      </w:r>
    </w:p>
    <w:p w:rsidR="00A67441" w:rsidRDefault="00A67441" w:rsidP="00A67441">
      <w:pPr>
        <w:pStyle w:val="ListParagraph"/>
        <w:numPr>
          <w:ilvl w:val="0"/>
          <w:numId w:val="5"/>
        </w:numPr>
        <w:ind w:left="1080"/>
        <w:rPr>
          <w:sz w:val="18"/>
          <w:szCs w:val="18"/>
        </w:rPr>
      </w:pPr>
      <w:r w:rsidRPr="00A11A46">
        <w:rPr>
          <w:sz w:val="18"/>
          <w:szCs w:val="18"/>
        </w:rPr>
        <w:t>Native Americans in the Northwest Territories – Tecumseh</w:t>
      </w:r>
      <w:r>
        <w:rPr>
          <w:sz w:val="18"/>
          <w:szCs w:val="18"/>
        </w:rPr>
        <w:t xml:space="preserve"> </w:t>
      </w:r>
      <w:r w:rsidR="00B47E1F">
        <w:rPr>
          <w:sz w:val="18"/>
          <w:szCs w:val="18"/>
        </w:rPr>
        <w:t xml:space="preserve">and Battle of Tippecanoe </w:t>
      </w:r>
      <w:r>
        <w:rPr>
          <w:sz w:val="18"/>
          <w:szCs w:val="18"/>
        </w:rPr>
        <w:t>– pp.325-26 “ Tecumseh and the Prophet,” “New Leaders take Charge,” “Harrison’s Victory”</w:t>
      </w:r>
    </w:p>
    <w:p w:rsidR="00B47E1F" w:rsidRPr="00A11A46" w:rsidRDefault="00B47E1F" w:rsidP="00B47E1F">
      <w:pPr>
        <w:pStyle w:val="ListParagraph"/>
        <w:numPr>
          <w:ilvl w:val="0"/>
          <w:numId w:val="5"/>
        </w:numPr>
        <w:ind w:left="1080"/>
        <w:rPr>
          <w:sz w:val="18"/>
          <w:szCs w:val="18"/>
        </w:rPr>
      </w:pPr>
      <w:r w:rsidRPr="00A11A46">
        <w:rPr>
          <w:sz w:val="18"/>
          <w:szCs w:val="18"/>
        </w:rPr>
        <w:t>The War of 1812 – beginning, First Half, Second Half</w:t>
      </w:r>
      <w:r>
        <w:rPr>
          <w:sz w:val="18"/>
          <w:szCs w:val="18"/>
        </w:rPr>
        <w:t xml:space="preserve"> – pp. 327-331 “The War of 1812”</w:t>
      </w:r>
    </w:p>
    <w:p w:rsidR="00B47E1F" w:rsidRPr="00B47E1F" w:rsidRDefault="00B47E1F" w:rsidP="00B47E1F">
      <w:pPr>
        <w:rPr>
          <w:sz w:val="18"/>
          <w:szCs w:val="18"/>
        </w:rPr>
      </w:pPr>
    </w:p>
    <w:p w:rsidR="00A67441" w:rsidRDefault="00A67441" w:rsidP="00A67441">
      <w:pPr>
        <w:pStyle w:val="ListParagraph"/>
        <w:ind w:left="1080"/>
        <w:rPr>
          <w:sz w:val="18"/>
          <w:szCs w:val="18"/>
        </w:rPr>
      </w:pPr>
    </w:p>
    <w:p w:rsidR="00600D72" w:rsidRDefault="00600D72" w:rsidP="00600D72"/>
    <w:sectPr w:rsidR="00600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37714"/>
    <w:multiLevelType w:val="hybridMultilevel"/>
    <w:tmpl w:val="FC0E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D1362"/>
    <w:multiLevelType w:val="hybridMultilevel"/>
    <w:tmpl w:val="A8EC1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61418"/>
    <w:multiLevelType w:val="hybridMultilevel"/>
    <w:tmpl w:val="208E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97C83"/>
    <w:multiLevelType w:val="hybridMultilevel"/>
    <w:tmpl w:val="E9D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D5574"/>
    <w:multiLevelType w:val="hybridMultilevel"/>
    <w:tmpl w:val="A8949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67"/>
    <w:rsid w:val="000160CB"/>
    <w:rsid w:val="002A6C26"/>
    <w:rsid w:val="003A54D9"/>
    <w:rsid w:val="00410752"/>
    <w:rsid w:val="00537240"/>
    <w:rsid w:val="00600D72"/>
    <w:rsid w:val="007F4C67"/>
    <w:rsid w:val="00A26F07"/>
    <w:rsid w:val="00A67441"/>
    <w:rsid w:val="00B47E1F"/>
    <w:rsid w:val="00D62228"/>
    <w:rsid w:val="00F315E9"/>
    <w:rsid w:val="00F425FC"/>
    <w:rsid w:val="00F5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51C3B-CA26-42D7-ABE1-212145D5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11</cp:revision>
  <cp:lastPrinted>2016-02-10T20:22:00Z</cp:lastPrinted>
  <dcterms:created xsi:type="dcterms:W3CDTF">2016-02-08T19:01:00Z</dcterms:created>
  <dcterms:modified xsi:type="dcterms:W3CDTF">2016-03-10T12:49:00Z</dcterms:modified>
</cp:coreProperties>
</file>