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A8B" w:rsidRDefault="00530A8B" w:rsidP="00530A8B">
      <w:r>
        <w:t>Fitzgerald</w:t>
      </w:r>
    </w:p>
    <w:p w:rsidR="00530A8B" w:rsidRDefault="00530A8B" w:rsidP="00530A8B">
      <w:r>
        <w:t xml:space="preserve">Article III </w:t>
      </w:r>
    </w:p>
    <w:p w:rsidR="00530A8B" w:rsidRDefault="00530A8B" w:rsidP="00530A8B"/>
    <w:tbl>
      <w:tblPr>
        <w:tblStyle w:val="TableGrid"/>
        <w:tblW w:w="0" w:type="auto"/>
        <w:tblLook w:val="04A0" w:firstRow="1" w:lastRow="0" w:firstColumn="1" w:lastColumn="0" w:noHBand="0" w:noVBand="1"/>
      </w:tblPr>
      <w:tblGrid>
        <w:gridCol w:w="4085"/>
        <w:gridCol w:w="6705"/>
      </w:tblGrid>
      <w:tr w:rsidR="00530A8B" w:rsidTr="00530A8B">
        <w:tc>
          <w:tcPr>
            <w:tcW w:w="4085" w:type="dxa"/>
          </w:tcPr>
          <w:p w:rsidR="00530A8B" w:rsidRDefault="00530A8B" w:rsidP="00CA352C">
            <w:r>
              <w:t>What is the only court created by the Constitution?</w:t>
            </w:r>
          </w:p>
          <w:p w:rsidR="00530A8B" w:rsidRDefault="00530A8B" w:rsidP="00CA352C">
            <w:r>
              <w:t>How are/were all other courts created?</w:t>
            </w:r>
          </w:p>
          <w:p w:rsidR="00530A8B" w:rsidRDefault="00530A8B" w:rsidP="00CA352C"/>
          <w:p w:rsidR="00530A8B" w:rsidRDefault="00530A8B" w:rsidP="00CA352C">
            <w:r>
              <w:t>What is a judge’s term of office?</w:t>
            </w:r>
          </w:p>
        </w:tc>
        <w:tc>
          <w:tcPr>
            <w:tcW w:w="6705" w:type="dxa"/>
          </w:tcPr>
          <w:p w:rsidR="00530A8B" w:rsidRPr="00707B97" w:rsidRDefault="00530A8B" w:rsidP="00CA352C">
            <w:pPr>
              <w:pStyle w:val="NormalWeb"/>
              <w:shd w:val="clear" w:color="auto" w:fill="FFFFFF"/>
              <w:spacing w:before="0" w:beforeAutospacing="0" w:after="0" w:afterAutospacing="0"/>
              <w:contextualSpacing/>
              <w:rPr>
                <w:rFonts w:ascii="Book Antiqua" w:hAnsi="Book Antiqua"/>
                <w:b/>
                <w:color w:val="333333"/>
                <w:sz w:val="20"/>
                <w:szCs w:val="20"/>
              </w:rPr>
            </w:pPr>
            <w:r w:rsidRPr="00707B97">
              <w:rPr>
                <w:rFonts w:ascii="Book Antiqua" w:hAnsi="Book Antiqua"/>
                <w:b/>
                <w:color w:val="333333"/>
                <w:sz w:val="20"/>
                <w:szCs w:val="20"/>
              </w:rPr>
              <w:t>Section 1</w:t>
            </w:r>
          </w:p>
          <w:p w:rsidR="00530A8B" w:rsidRPr="00707B97" w:rsidRDefault="00530A8B" w:rsidP="00CA352C">
            <w:pPr>
              <w:pStyle w:val="NormalWeb"/>
              <w:shd w:val="clear" w:color="auto" w:fill="FFFFFF"/>
              <w:spacing w:before="0" w:beforeAutospacing="0" w:after="0" w:afterAutospacing="0" w:line="276" w:lineRule="auto"/>
              <w:contextualSpacing/>
              <w:rPr>
                <w:rFonts w:ascii="Book Antiqua" w:hAnsi="Book Antiqua"/>
                <w:color w:val="333333"/>
                <w:sz w:val="20"/>
                <w:szCs w:val="20"/>
              </w:rPr>
            </w:pPr>
            <w:r w:rsidRPr="00707B97">
              <w:rPr>
                <w:rFonts w:ascii="Book Antiqua" w:hAnsi="Book Antiqua"/>
                <w:color w:val="333333"/>
                <w:sz w:val="20"/>
                <w:szCs w:val="20"/>
              </w:rPr>
              <w:t xml:space="preserve">The judicial power of the United States, shall be vested in </w:t>
            </w:r>
            <w:r w:rsidRPr="007B5342">
              <w:rPr>
                <w:rFonts w:ascii="Book Antiqua" w:hAnsi="Book Antiqua"/>
                <w:b/>
                <w:color w:val="333333"/>
                <w:sz w:val="20"/>
                <w:szCs w:val="20"/>
                <w:u w:val="single"/>
              </w:rPr>
              <w:t>one Supreme Court</w:t>
            </w:r>
            <w:r w:rsidRPr="00707B97">
              <w:rPr>
                <w:rFonts w:ascii="Book Antiqua" w:hAnsi="Book Antiqua"/>
                <w:color w:val="333333"/>
                <w:sz w:val="20"/>
                <w:szCs w:val="20"/>
              </w:rPr>
              <w:t xml:space="preserve">, and in such inferior courts as the </w:t>
            </w:r>
            <w:r w:rsidRPr="007B5342">
              <w:rPr>
                <w:rFonts w:ascii="Book Antiqua" w:hAnsi="Book Antiqua"/>
                <w:b/>
                <w:color w:val="333333"/>
                <w:sz w:val="20"/>
                <w:szCs w:val="20"/>
                <w:u w:val="single"/>
              </w:rPr>
              <w:t>Congress</w:t>
            </w:r>
            <w:r w:rsidRPr="00707B97">
              <w:rPr>
                <w:rFonts w:ascii="Book Antiqua" w:hAnsi="Book Antiqua"/>
                <w:color w:val="333333"/>
                <w:sz w:val="20"/>
                <w:szCs w:val="20"/>
              </w:rPr>
              <w:t xml:space="preserve"> may from time to time ordain and establish. The judges, both of the supreme and inferior courts, shall hold their offices </w:t>
            </w:r>
            <w:r w:rsidRPr="0031452D">
              <w:rPr>
                <w:rFonts w:ascii="Book Antiqua" w:hAnsi="Book Antiqua"/>
                <w:b/>
                <w:color w:val="333333"/>
                <w:sz w:val="20"/>
                <w:szCs w:val="20"/>
                <w:u w:val="single"/>
              </w:rPr>
              <w:t>during good behavior</w:t>
            </w:r>
            <w:r>
              <w:rPr>
                <w:rFonts w:ascii="Book Antiqua" w:hAnsi="Book Antiqua"/>
                <w:b/>
                <w:color w:val="333333"/>
                <w:sz w:val="20"/>
                <w:szCs w:val="20"/>
                <w:u w:val="single"/>
              </w:rPr>
              <w:t xml:space="preserve"> [life]</w:t>
            </w:r>
            <w:r w:rsidRPr="00707B97">
              <w:rPr>
                <w:rFonts w:ascii="Book Antiqua" w:hAnsi="Book Antiqua"/>
                <w:color w:val="333333"/>
                <w:sz w:val="20"/>
                <w:szCs w:val="20"/>
              </w:rPr>
              <w:t>, and shall, at stated times, receive for their services, a compensation, which shall not be diminished during their continuance in office.</w:t>
            </w:r>
          </w:p>
        </w:tc>
      </w:tr>
      <w:tr w:rsidR="00530A8B" w:rsidTr="00530A8B">
        <w:tc>
          <w:tcPr>
            <w:tcW w:w="4085" w:type="dxa"/>
          </w:tcPr>
          <w:p w:rsidR="00530A8B" w:rsidRPr="00AD2015" w:rsidRDefault="00530A8B" w:rsidP="00CA352C">
            <w:pPr>
              <w:rPr>
                <w:sz w:val="16"/>
                <w:szCs w:val="16"/>
              </w:rPr>
            </w:pPr>
            <w:r w:rsidRPr="00AD2015">
              <w:rPr>
                <w:sz w:val="16"/>
                <w:szCs w:val="16"/>
              </w:rPr>
              <w:t>Vocabulary -</w:t>
            </w:r>
          </w:p>
          <w:p w:rsidR="00530A8B" w:rsidRPr="00AD2015" w:rsidRDefault="00530A8B" w:rsidP="00CA352C">
            <w:pPr>
              <w:pStyle w:val="ListParagraph"/>
              <w:numPr>
                <w:ilvl w:val="0"/>
                <w:numId w:val="1"/>
              </w:numPr>
              <w:rPr>
                <w:sz w:val="16"/>
                <w:szCs w:val="16"/>
              </w:rPr>
            </w:pPr>
            <w:r w:rsidRPr="00AD2015">
              <w:rPr>
                <w:sz w:val="16"/>
                <w:szCs w:val="16"/>
              </w:rPr>
              <w:t>Jurisdiction – type of case the court can hear</w:t>
            </w:r>
          </w:p>
          <w:p w:rsidR="00530A8B" w:rsidRPr="00AD2015" w:rsidRDefault="00530A8B" w:rsidP="00CA352C">
            <w:pPr>
              <w:pStyle w:val="ListParagraph"/>
              <w:numPr>
                <w:ilvl w:val="0"/>
                <w:numId w:val="1"/>
              </w:numPr>
              <w:rPr>
                <w:sz w:val="16"/>
                <w:szCs w:val="16"/>
              </w:rPr>
            </w:pPr>
            <w:r w:rsidRPr="00AD2015">
              <w:rPr>
                <w:sz w:val="16"/>
                <w:szCs w:val="16"/>
              </w:rPr>
              <w:t>Original – goes right to that court</w:t>
            </w:r>
          </w:p>
          <w:p w:rsidR="00530A8B" w:rsidRPr="00AD2015" w:rsidRDefault="00530A8B" w:rsidP="00CA352C">
            <w:pPr>
              <w:pStyle w:val="ListParagraph"/>
              <w:numPr>
                <w:ilvl w:val="0"/>
                <w:numId w:val="1"/>
              </w:numPr>
            </w:pPr>
            <w:r w:rsidRPr="00AD2015">
              <w:rPr>
                <w:sz w:val="16"/>
                <w:szCs w:val="16"/>
              </w:rPr>
              <w:t>Appellate – appealed to that court, asked that court to hear their case</w:t>
            </w:r>
          </w:p>
          <w:p w:rsidR="00530A8B" w:rsidRDefault="00530A8B" w:rsidP="00CA352C">
            <w:r>
              <w:t>What kind of cases are heard by federal courts?</w:t>
            </w:r>
          </w:p>
          <w:p w:rsidR="00530A8B" w:rsidRDefault="00530A8B" w:rsidP="00CA352C"/>
          <w:p w:rsidR="00530A8B" w:rsidRDefault="00530A8B" w:rsidP="00CA352C"/>
          <w:p w:rsidR="00530A8B" w:rsidRDefault="00530A8B" w:rsidP="00CA352C"/>
          <w:p w:rsidR="00530A8B" w:rsidRDefault="00530A8B" w:rsidP="00CA352C"/>
          <w:p w:rsidR="00530A8B" w:rsidRDefault="00530A8B" w:rsidP="00CA352C"/>
          <w:p w:rsidR="00530A8B" w:rsidRDefault="00530A8B" w:rsidP="00CA352C"/>
          <w:p w:rsidR="00530A8B" w:rsidRDefault="00530A8B" w:rsidP="00CA352C"/>
          <w:p w:rsidR="00530A8B" w:rsidRDefault="00530A8B" w:rsidP="00CA352C"/>
          <w:p w:rsidR="00530A8B" w:rsidRDefault="00530A8B" w:rsidP="00CA352C"/>
          <w:p w:rsidR="00530A8B" w:rsidRDefault="00530A8B" w:rsidP="00CA352C">
            <w:r>
              <w:t>What cases go right to the Supreme Court?</w:t>
            </w:r>
          </w:p>
          <w:p w:rsidR="00530A8B" w:rsidRDefault="00530A8B" w:rsidP="00CA352C"/>
          <w:p w:rsidR="00530A8B" w:rsidRDefault="00530A8B" w:rsidP="00CA352C"/>
          <w:p w:rsidR="00530A8B" w:rsidRDefault="00530A8B" w:rsidP="00CA352C"/>
          <w:p w:rsidR="00530A8B" w:rsidRDefault="00530A8B" w:rsidP="00CA352C"/>
          <w:p w:rsidR="00530A8B" w:rsidRDefault="00530A8B" w:rsidP="00CA352C"/>
          <w:p w:rsidR="00530A8B" w:rsidRDefault="00530A8B" w:rsidP="00CA352C">
            <w:r>
              <w:t xml:space="preserve">What kind of trial is guaranteed by the Constitution? </w:t>
            </w:r>
          </w:p>
        </w:tc>
        <w:tc>
          <w:tcPr>
            <w:tcW w:w="6705" w:type="dxa"/>
          </w:tcPr>
          <w:p w:rsidR="00530A8B" w:rsidRPr="00707B97" w:rsidRDefault="00530A8B" w:rsidP="00CA352C">
            <w:pPr>
              <w:pStyle w:val="NormalWeb"/>
              <w:shd w:val="clear" w:color="auto" w:fill="FFFFFF"/>
              <w:spacing w:before="0" w:beforeAutospacing="0" w:after="0" w:afterAutospacing="0"/>
              <w:contextualSpacing/>
              <w:rPr>
                <w:rFonts w:ascii="Book Antiqua" w:hAnsi="Book Antiqua"/>
                <w:b/>
                <w:color w:val="333333"/>
                <w:sz w:val="22"/>
                <w:szCs w:val="22"/>
              </w:rPr>
            </w:pPr>
            <w:r w:rsidRPr="00707B97">
              <w:rPr>
                <w:rFonts w:ascii="Book Antiqua" w:hAnsi="Book Antiqua"/>
                <w:b/>
                <w:color w:val="333333"/>
                <w:sz w:val="22"/>
                <w:szCs w:val="22"/>
              </w:rPr>
              <w:t>Section 2</w:t>
            </w:r>
          </w:p>
          <w:p w:rsidR="00530A8B" w:rsidRPr="00707B97" w:rsidRDefault="00530A8B" w:rsidP="00CA352C">
            <w:pPr>
              <w:pStyle w:val="NormalWeb"/>
              <w:shd w:val="clear" w:color="auto" w:fill="FFFFFF"/>
              <w:spacing w:before="0" w:beforeAutospacing="0" w:after="0" w:afterAutospacing="0" w:line="276" w:lineRule="auto"/>
              <w:contextualSpacing/>
              <w:rPr>
                <w:rFonts w:ascii="Book Antiqua" w:hAnsi="Book Antiqua"/>
                <w:color w:val="333333"/>
                <w:sz w:val="22"/>
                <w:szCs w:val="22"/>
              </w:rPr>
            </w:pPr>
            <w:r w:rsidRPr="00707B97">
              <w:rPr>
                <w:rFonts w:ascii="Book Antiqua" w:hAnsi="Book Antiqua"/>
                <w:color w:val="333333"/>
                <w:sz w:val="22"/>
                <w:szCs w:val="22"/>
              </w:rPr>
              <w:t xml:space="preserve">The judicial power shall extend to all cases, in law and equity, arising under this </w:t>
            </w:r>
            <w:r w:rsidRPr="001D0BEC">
              <w:rPr>
                <w:rFonts w:ascii="Book Antiqua" w:hAnsi="Book Antiqua"/>
                <w:b/>
                <w:color w:val="333333"/>
                <w:sz w:val="22"/>
                <w:szCs w:val="22"/>
                <w:u w:val="single"/>
              </w:rPr>
              <w:t>Constitution</w:t>
            </w:r>
            <w:r w:rsidRPr="00707B97">
              <w:rPr>
                <w:rFonts w:ascii="Book Antiqua" w:hAnsi="Book Antiqua"/>
                <w:color w:val="333333"/>
                <w:sz w:val="22"/>
                <w:szCs w:val="22"/>
              </w:rPr>
              <w:t xml:space="preserve">, the </w:t>
            </w:r>
            <w:r w:rsidRPr="001D0BEC">
              <w:rPr>
                <w:rFonts w:ascii="Book Antiqua" w:hAnsi="Book Antiqua"/>
                <w:b/>
                <w:color w:val="333333"/>
                <w:sz w:val="22"/>
                <w:szCs w:val="22"/>
                <w:u w:val="single"/>
              </w:rPr>
              <w:t>laws of the United States</w:t>
            </w:r>
            <w:r w:rsidRPr="00707B97">
              <w:rPr>
                <w:rFonts w:ascii="Book Antiqua" w:hAnsi="Book Antiqua"/>
                <w:color w:val="333333"/>
                <w:sz w:val="22"/>
                <w:szCs w:val="22"/>
              </w:rPr>
              <w:t xml:space="preserve">, and </w:t>
            </w:r>
            <w:r w:rsidRPr="001D0BEC">
              <w:rPr>
                <w:rFonts w:ascii="Book Antiqua" w:hAnsi="Book Antiqua"/>
                <w:b/>
                <w:color w:val="333333"/>
                <w:sz w:val="22"/>
                <w:szCs w:val="22"/>
                <w:u w:val="single"/>
              </w:rPr>
              <w:t>treaties</w:t>
            </w:r>
            <w:r w:rsidRPr="00707B97">
              <w:rPr>
                <w:rFonts w:ascii="Book Antiqua" w:hAnsi="Book Antiqua"/>
                <w:color w:val="333333"/>
                <w:sz w:val="22"/>
                <w:szCs w:val="22"/>
              </w:rPr>
              <w:t xml:space="preserve"> made, or which shall be made, under their authority;--to all cases affecting </w:t>
            </w:r>
            <w:r w:rsidRPr="001D0BEC">
              <w:rPr>
                <w:rFonts w:ascii="Book Antiqua" w:hAnsi="Book Antiqua"/>
                <w:b/>
                <w:color w:val="333333"/>
                <w:sz w:val="22"/>
                <w:szCs w:val="22"/>
                <w:u w:val="single"/>
              </w:rPr>
              <w:t>ambassadors, other public ministers and consuls</w:t>
            </w:r>
            <w:r>
              <w:rPr>
                <w:rFonts w:ascii="Book Antiqua" w:hAnsi="Book Antiqua"/>
                <w:b/>
                <w:color w:val="333333"/>
                <w:sz w:val="22"/>
                <w:szCs w:val="22"/>
                <w:u w:val="single"/>
              </w:rPr>
              <w:t xml:space="preserve"> [representatives of other nations]</w:t>
            </w:r>
            <w:r w:rsidRPr="00707B97">
              <w:rPr>
                <w:rFonts w:ascii="Book Antiqua" w:hAnsi="Book Antiqua"/>
                <w:color w:val="333333"/>
                <w:sz w:val="22"/>
                <w:szCs w:val="22"/>
              </w:rPr>
              <w:t xml:space="preserve">;--to all cases of </w:t>
            </w:r>
            <w:r w:rsidRPr="00AD2015">
              <w:rPr>
                <w:rFonts w:ascii="Book Antiqua" w:hAnsi="Book Antiqua"/>
                <w:b/>
                <w:color w:val="333333"/>
                <w:sz w:val="22"/>
                <w:szCs w:val="22"/>
              </w:rPr>
              <w:t xml:space="preserve">admiralty and maritime </w:t>
            </w:r>
            <w:r>
              <w:rPr>
                <w:rFonts w:ascii="Book Antiqua" w:hAnsi="Book Antiqua"/>
                <w:b/>
                <w:color w:val="333333"/>
                <w:sz w:val="22"/>
                <w:szCs w:val="22"/>
              </w:rPr>
              <w:t xml:space="preserve">[on the sea or involving the navy] </w:t>
            </w:r>
            <w:r w:rsidRPr="00AD2015">
              <w:rPr>
                <w:rFonts w:ascii="Book Antiqua" w:hAnsi="Book Antiqua"/>
                <w:b/>
                <w:color w:val="333333"/>
                <w:sz w:val="22"/>
                <w:szCs w:val="22"/>
              </w:rPr>
              <w:t>jurisdiction</w:t>
            </w:r>
            <w:r w:rsidRPr="00707B97">
              <w:rPr>
                <w:rFonts w:ascii="Book Antiqua" w:hAnsi="Book Antiqua"/>
                <w:color w:val="333333"/>
                <w:sz w:val="22"/>
                <w:szCs w:val="22"/>
              </w:rPr>
              <w:t xml:space="preserve">;--to controversies to which the </w:t>
            </w:r>
            <w:r w:rsidRPr="00AD2015">
              <w:rPr>
                <w:rFonts w:ascii="Book Antiqua" w:hAnsi="Book Antiqua"/>
                <w:b/>
                <w:color w:val="333333"/>
                <w:sz w:val="22"/>
                <w:szCs w:val="22"/>
                <w:u w:val="single"/>
              </w:rPr>
              <w:t>United States shall be a party</w:t>
            </w:r>
            <w:r w:rsidRPr="00707B97">
              <w:rPr>
                <w:rFonts w:ascii="Book Antiqua" w:hAnsi="Book Antiqua"/>
                <w:color w:val="333333"/>
                <w:sz w:val="22"/>
                <w:szCs w:val="22"/>
              </w:rPr>
              <w:t>;--to controversies between two or more states;--between a state and citizens of another state;--between citizens of different states;--between citizens of the same state claiming lands under grants of different states, and between a state, or the citizens thereof, and foreign states, citizens or subjects</w:t>
            </w:r>
            <w:r>
              <w:rPr>
                <w:rFonts w:ascii="Book Antiqua" w:hAnsi="Book Antiqua"/>
                <w:color w:val="333333"/>
                <w:sz w:val="22"/>
                <w:szCs w:val="22"/>
              </w:rPr>
              <w:t xml:space="preserve"> [</w:t>
            </w:r>
            <w:r w:rsidRPr="00AD2015">
              <w:rPr>
                <w:rFonts w:ascii="Book Antiqua" w:hAnsi="Book Antiqua"/>
                <w:b/>
                <w:color w:val="333333"/>
                <w:sz w:val="22"/>
                <w:szCs w:val="22"/>
                <w:u w:val="single"/>
              </w:rPr>
              <w:t>states are a party</w:t>
            </w:r>
            <w:r>
              <w:rPr>
                <w:rFonts w:ascii="Book Antiqua" w:hAnsi="Book Antiqua"/>
                <w:color w:val="333333"/>
                <w:sz w:val="22"/>
                <w:szCs w:val="22"/>
              </w:rPr>
              <w:t xml:space="preserve">] </w:t>
            </w:r>
            <w:r w:rsidRPr="00707B97">
              <w:rPr>
                <w:rFonts w:ascii="Book Antiqua" w:hAnsi="Book Antiqua"/>
                <w:color w:val="333333"/>
                <w:sz w:val="22"/>
                <w:szCs w:val="22"/>
              </w:rPr>
              <w:t>.</w:t>
            </w:r>
          </w:p>
          <w:p w:rsidR="00530A8B" w:rsidRPr="00707B97" w:rsidRDefault="00530A8B" w:rsidP="00CA352C">
            <w:pPr>
              <w:pStyle w:val="NormalWeb"/>
              <w:shd w:val="clear" w:color="auto" w:fill="FFFFFF"/>
              <w:spacing w:before="0" w:beforeAutospacing="0" w:after="0" w:afterAutospacing="0" w:line="276" w:lineRule="auto"/>
              <w:contextualSpacing/>
              <w:rPr>
                <w:rFonts w:ascii="Book Antiqua" w:hAnsi="Book Antiqua"/>
                <w:color w:val="333333"/>
                <w:sz w:val="22"/>
                <w:szCs w:val="22"/>
              </w:rPr>
            </w:pPr>
            <w:r w:rsidRPr="00707B97">
              <w:rPr>
                <w:rFonts w:ascii="Book Antiqua" w:hAnsi="Book Antiqua"/>
                <w:color w:val="333333"/>
                <w:sz w:val="22"/>
                <w:szCs w:val="22"/>
              </w:rPr>
              <w:t xml:space="preserve">In all </w:t>
            </w:r>
            <w:r w:rsidRPr="00AD2015">
              <w:rPr>
                <w:rFonts w:ascii="Book Antiqua" w:hAnsi="Book Antiqua"/>
                <w:color w:val="333333"/>
                <w:sz w:val="22"/>
                <w:szCs w:val="22"/>
                <w:u w:val="single"/>
              </w:rPr>
              <w:t>cases affecting ambassadors, other public ministers and consuls</w:t>
            </w:r>
            <w:r w:rsidRPr="00707B97">
              <w:rPr>
                <w:rFonts w:ascii="Book Antiqua" w:hAnsi="Book Antiqua"/>
                <w:color w:val="333333"/>
                <w:sz w:val="22"/>
                <w:szCs w:val="22"/>
              </w:rPr>
              <w:t xml:space="preserve">, and those in which a </w:t>
            </w:r>
            <w:r w:rsidRPr="00AD2015">
              <w:rPr>
                <w:rFonts w:ascii="Book Antiqua" w:hAnsi="Book Antiqua"/>
                <w:b/>
                <w:color w:val="333333"/>
                <w:sz w:val="22"/>
                <w:szCs w:val="22"/>
                <w:u w:val="single"/>
              </w:rPr>
              <w:t>state shall be party</w:t>
            </w:r>
            <w:r w:rsidRPr="00707B97">
              <w:rPr>
                <w:rFonts w:ascii="Book Antiqua" w:hAnsi="Book Antiqua"/>
                <w:color w:val="333333"/>
                <w:sz w:val="22"/>
                <w:szCs w:val="22"/>
              </w:rPr>
              <w:t xml:space="preserve">, the </w:t>
            </w:r>
            <w:r w:rsidRPr="00AD2015">
              <w:rPr>
                <w:rFonts w:ascii="Book Antiqua" w:hAnsi="Book Antiqua"/>
                <w:b/>
                <w:color w:val="333333"/>
                <w:sz w:val="22"/>
                <w:szCs w:val="22"/>
                <w:u w:val="single"/>
              </w:rPr>
              <w:t>Supreme Court shall have original jurisdiction</w:t>
            </w:r>
            <w:r w:rsidRPr="00707B97">
              <w:rPr>
                <w:rFonts w:ascii="Book Antiqua" w:hAnsi="Book Antiqua"/>
                <w:color w:val="333333"/>
                <w:sz w:val="22"/>
                <w:szCs w:val="22"/>
              </w:rPr>
              <w:t>. In all the other cases before mentioned, the Supreme Court shall have appellate jurisdiction, both as to law and fact, with such exceptions, and under such regulations as the Congress shall make.</w:t>
            </w:r>
          </w:p>
          <w:p w:rsidR="00530A8B" w:rsidRDefault="00530A8B" w:rsidP="00CA352C">
            <w:pPr>
              <w:spacing w:line="276" w:lineRule="auto"/>
            </w:pPr>
            <w:r w:rsidRPr="00707B97">
              <w:rPr>
                <w:color w:val="333333"/>
              </w:rPr>
              <w:t xml:space="preserve">The trial of all crimes, except in cases of impeachment, shall be by </w:t>
            </w:r>
            <w:r w:rsidRPr="00AD2015">
              <w:rPr>
                <w:b/>
                <w:color w:val="333333"/>
              </w:rPr>
              <w:t>jury</w:t>
            </w:r>
            <w:r w:rsidRPr="00707B97">
              <w:rPr>
                <w:color w:val="333333"/>
              </w:rPr>
              <w:t>; and such trial shall be held in the state where the said crimes shall have been committed</w:t>
            </w:r>
            <w:r>
              <w:rPr>
                <w:color w:val="333333"/>
              </w:rPr>
              <w:t xml:space="preserve"> [</w:t>
            </w:r>
            <w:r w:rsidRPr="00AD2015">
              <w:rPr>
                <w:b/>
                <w:color w:val="333333"/>
                <w:u w:val="single"/>
              </w:rPr>
              <w:t>of your peers</w:t>
            </w:r>
            <w:r>
              <w:rPr>
                <w:color w:val="333333"/>
              </w:rPr>
              <w:t>]</w:t>
            </w:r>
            <w:r w:rsidRPr="00707B97">
              <w:rPr>
                <w:color w:val="333333"/>
              </w:rPr>
              <w:t>; but when not committed within any state, the trial shall be at such place or places as the Congress may by law have directed.</w:t>
            </w:r>
          </w:p>
        </w:tc>
      </w:tr>
      <w:tr w:rsidR="00530A8B" w:rsidTr="00530A8B">
        <w:tc>
          <w:tcPr>
            <w:tcW w:w="4085" w:type="dxa"/>
          </w:tcPr>
          <w:p w:rsidR="00530A8B" w:rsidRDefault="00530A8B" w:rsidP="00CA352C"/>
          <w:p w:rsidR="00530A8B" w:rsidRDefault="00530A8B" w:rsidP="00CA352C">
            <w:r>
              <w:t>What is treason?</w:t>
            </w:r>
          </w:p>
          <w:p w:rsidR="00530A8B" w:rsidRDefault="00530A8B" w:rsidP="00CA352C"/>
          <w:p w:rsidR="00530A8B" w:rsidRDefault="00530A8B" w:rsidP="00CA352C"/>
          <w:p w:rsidR="00530A8B" w:rsidRDefault="00530A8B" w:rsidP="00CA352C"/>
          <w:p w:rsidR="00530A8B" w:rsidRDefault="00530A8B" w:rsidP="00CA352C">
            <w:r>
              <w:t>What evidence is required to prove treason?</w:t>
            </w:r>
          </w:p>
        </w:tc>
        <w:tc>
          <w:tcPr>
            <w:tcW w:w="6705" w:type="dxa"/>
          </w:tcPr>
          <w:p w:rsidR="00530A8B" w:rsidRPr="00707B97" w:rsidRDefault="00530A8B" w:rsidP="00CA352C">
            <w:pPr>
              <w:pStyle w:val="NormalWeb"/>
              <w:shd w:val="clear" w:color="auto" w:fill="FFFFFF"/>
              <w:spacing w:before="0" w:beforeAutospacing="0" w:after="0" w:afterAutospacing="0"/>
              <w:contextualSpacing/>
              <w:rPr>
                <w:rFonts w:ascii="Book Antiqua" w:hAnsi="Book Antiqua"/>
                <w:b/>
                <w:color w:val="333333"/>
                <w:sz w:val="22"/>
                <w:szCs w:val="22"/>
              </w:rPr>
            </w:pPr>
            <w:r w:rsidRPr="00707B97">
              <w:rPr>
                <w:rFonts w:ascii="Book Antiqua" w:hAnsi="Book Antiqua"/>
                <w:b/>
                <w:color w:val="333333"/>
                <w:sz w:val="22"/>
                <w:szCs w:val="22"/>
              </w:rPr>
              <w:t>Section 3</w:t>
            </w:r>
          </w:p>
          <w:p w:rsidR="00530A8B" w:rsidRPr="00707B97" w:rsidRDefault="00530A8B" w:rsidP="00CA352C">
            <w:pPr>
              <w:pStyle w:val="NormalWeb"/>
              <w:shd w:val="clear" w:color="auto" w:fill="FFFFFF"/>
              <w:spacing w:before="0" w:beforeAutospacing="0" w:after="0" w:afterAutospacing="0" w:line="276" w:lineRule="auto"/>
              <w:contextualSpacing/>
              <w:rPr>
                <w:rFonts w:ascii="Book Antiqua" w:hAnsi="Book Antiqua"/>
                <w:color w:val="333333"/>
                <w:sz w:val="22"/>
                <w:szCs w:val="22"/>
              </w:rPr>
            </w:pPr>
            <w:r w:rsidRPr="00707B97">
              <w:rPr>
                <w:rFonts w:ascii="Book Antiqua" w:hAnsi="Book Antiqua"/>
                <w:color w:val="333333"/>
                <w:sz w:val="22"/>
                <w:szCs w:val="22"/>
              </w:rPr>
              <w:t xml:space="preserve">Treason against the United States, shall consist only in </w:t>
            </w:r>
            <w:r w:rsidRPr="00AD2015">
              <w:rPr>
                <w:rFonts w:ascii="Book Antiqua" w:hAnsi="Book Antiqua"/>
                <w:color w:val="333333"/>
                <w:sz w:val="22"/>
                <w:szCs w:val="22"/>
                <w:u w:val="single"/>
              </w:rPr>
              <w:t>levying war against them, or in adhering to their enemies, giving them aid and comfort</w:t>
            </w:r>
            <w:r w:rsidRPr="00707B97">
              <w:rPr>
                <w:rFonts w:ascii="Book Antiqua" w:hAnsi="Book Antiqua"/>
                <w:color w:val="333333"/>
                <w:sz w:val="22"/>
                <w:szCs w:val="22"/>
              </w:rPr>
              <w:t xml:space="preserve">. No person shall be convicted of treason unless on the </w:t>
            </w:r>
            <w:r w:rsidRPr="00AD2015">
              <w:rPr>
                <w:rFonts w:ascii="Book Antiqua" w:hAnsi="Book Antiqua"/>
                <w:b/>
                <w:color w:val="333333"/>
                <w:sz w:val="22"/>
                <w:szCs w:val="22"/>
                <w:u w:val="single"/>
              </w:rPr>
              <w:t>testimony of two witnesses</w:t>
            </w:r>
            <w:r w:rsidRPr="00AD2015">
              <w:rPr>
                <w:rFonts w:ascii="Book Antiqua" w:hAnsi="Book Antiqua"/>
                <w:b/>
                <w:color w:val="333333"/>
                <w:sz w:val="22"/>
                <w:szCs w:val="22"/>
              </w:rPr>
              <w:t xml:space="preserve"> to the same </w:t>
            </w:r>
            <w:r w:rsidRPr="00AD2015">
              <w:rPr>
                <w:rFonts w:ascii="Book Antiqua" w:hAnsi="Book Antiqua"/>
                <w:b/>
                <w:color w:val="333333"/>
                <w:sz w:val="22"/>
                <w:szCs w:val="22"/>
                <w:u w:val="single"/>
              </w:rPr>
              <w:t>overt</w:t>
            </w:r>
            <w:r w:rsidRPr="00AD2015">
              <w:rPr>
                <w:rFonts w:ascii="Book Antiqua" w:hAnsi="Book Antiqua"/>
                <w:b/>
                <w:color w:val="333333"/>
                <w:sz w:val="22"/>
                <w:szCs w:val="22"/>
              </w:rPr>
              <w:t xml:space="preserve"> </w:t>
            </w:r>
            <w:r w:rsidRPr="00AD2015">
              <w:rPr>
                <w:rFonts w:ascii="Book Antiqua" w:hAnsi="Book Antiqua"/>
                <w:b/>
                <w:color w:val="333333"/>
                <w:sz w:val="22"/>
                <w:szCs w:val="22"/>
                <w:u w:val="single"/>
              </w:rPr>
              <w:t>act</w:t>
            </w:r>
            <w:r w:rsidRPr="00707B97">
              <w:rPr>
                <w:rFonts w:ascii="Book Antiqua" w:hAnsi="Book Antiqua"/>
                <w:color w:val="333333"/>
                <w:sz w:val="22"/>
                <w:szCs w:val="22"/>
              </w:rPr>
              <w:t xml:space="preserve">, or on </w:t>
            </w:r>
            <w:r w:rsidRPr="00AD2015">
              <w:rPr>
                <w:rFonts w:ascii="Book Antiqua" w:hAnsi="Book Antiqua"/>
                <w:b/>
                <w:color w:val="333333"/>
                <w:sz w:val="22"/>
                <w:szCs w:val="22"/>
                <w:u w:val="single"/>
              </w:rPr>
              <w:t>confession in open court</w:t>
            </w:r>
            <w:r w:rsidRPr="00707B97">
              <w:rPr>
                <w:rFonts w:ascii="Book Antiqua" w:hAnsi="Book Antiqua"/>
                <w:color w:val="333333"/>
                <w:sz w:val="22"/>
                <w:szCs w:val="22"/>
              </w:rPr>
              <w:t>.</w:t>
            </w:r>
          </w:p>
          <w:p w:rsidR="00530A8B" w:rsidRDefault="00530A8B" w:rsidP="00CA352C">
            <w:pPr>
              <w:spacing w:line="276" w:lineRule="auto"/>
            </w:pPr>
            <w:r w:rsidRPr="00707B97">
              <w:rPr>
                <w:color w:val="333333"/>
              </w:rPr>
              <w:t>The Congress shall have power to declare the punishment of treason, but no attainder of treason shall work corruption of blood, or forfeiture except during the life of the person attainted.</w:t>
            </w:r>
          </w:p>
        </w:tc>
      </w:tr>
    </w:tbl>
    <w:p w:rsidR="00530A8B" w:rsidRDefault="00530A8B" w:rsidP="00530A8B">
      <w:r>
        <w:t xml:space="preserve"> </w:t>
      </w:r>
    </w:p>
    <w:p w:rsidR="00530A8B" w:rsidRPr="00707B97" w:rsidRDefault="00530A8B" w:rsidP="00530A8B">
      <w:pPr>
        <w:pStyle w:val="NormalWeb"/>
        <w:shd w:val="clear" w:color="auto" w:fill="FFFFFF"/>
        <w:spacing w:before="0" w:beforeAutospacing="0" w:after="0" w:afterAutospacing="0"/>
        <w:contextualSpacing/>
        <w:rPr>
          <w:rFonts w:ascii="Book Antiqua" w:hAnsi="Book Antiqua"/>
          <w:color w:val="333333"/>
          <w:sz w:val="22"/>
          <w:szCs w:val="22"/>
        </w:rPr>
      </w:pPr>
    </w:p>
    <w:p w:rsidR="00530A8B" w:rsidRDefault="00530A8B" w:rsidP="00530A8B"/>
    <w:p w:rsidR="00651E55" w:rsidRDefault="00651E55" w:rsidP="00530A8B"/>
    <w:p w:rsidR="00651E55" w:rsidRDefault="00651E55" w:rsidP="00530A8B">
      <w:bookmarkStart w:id="0" w:name="_GoBack"/>
      <w:r>
        <w:rPr>
          <w:noProof/>
        </w:rPr>
        <w:lastRenderedPageBreak/>
        <w:drawing>
          <wp:inline distT="0" distB="0" distL="0" distR="0">
            <wp:extent cx="6858000" cy="5399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t Syst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5399405"/>
                    </a:xfrm>
                    <a:prstGeom prst="rect">
                      <a:avLst/>
                    </a:prstGeom>
                  </pic:spPr>
                </pic:pic>
              </a:graphicData>
            </a:graphic>
          </wp:inline>
        </w:drawing>
      </w:r>
      <w:bookmarkEnd w:id="0"/>
    </w:p>
    <w:p w:rsidR="00530A8B" w:rsidRDefault="00530A8B" w:rsidP="00530A8B"/>
    <w:sectPr w:rsidR="00530A8B" w:rsidSect="00707B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F5840"/>
    <w:multiLevelType w:val="hybridMultilevel"/>
    <w:tmpl w:val="C61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8B"/>
    <w:rsid w:val="00530A8B"/>
    <w:rsid w:val="00651E55"/>
    <w:rsid w:val="00A5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F778E-5EEB-4D38-B51A-6034004E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cher Medium" w:eastAsiaTheme="minorHAnsi" w:hAnsi="Archer Medium"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8B"/>
    <w:rPr>
      <w:rFonts w:ascii="Book Antiqua"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A8B"/>
    <w:rPr>
      <w:rFonts w:ascii="Book Antiqua" w:hAnsi="Book Antiqu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0A8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30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dcterms:created xsi:type="dcterms:W3CDTF">2019-02-11T16:17:00Z</dcterms:created>
  <dcterms:modified xsi:type="dcterms:W3CDTF">2019-02-11T16:27:00Z</dcterms:modified>
</cp:coreProperties>
</file>